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6" w:rsidRDefault="00AC0A46">
      <w:pPr>
        <w:rPr>
          <w:rFonts w:eastAsia="Times New Roman"/>
          <w:b/>
          <w:bCs/>
          <w:sz w:val="28"/>
          <w:szCs w:val="28"/>
        </w:rPr>
      </w:pPr>
      <w:bookmarkStart w:id="0" w:name="_GoBack"/>
      <w:r w:rsidRPr="00AC0A46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467475" cy="9329820"/>
            <wp:effectExtent l="0" t="0" r="0" b="0"/>
            <wp:docPr id="1" name="Рисунок 1" descr="C:\Users\ВХОД\Desktop\Проверено на сайт по питанию\порядок доступа\порядок доступа.pd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ХОД\Desktop\Проверено на сайт по питанию\порядок доступа\порядок доступа.pdf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4" t="8249"/>
                    <a:stretch/>
                  </pic:blipFill>
                  <pic:spPr bwMode="auto">
                    <a:xfrm>
                      <a:off x="0" y="0"/>
                      <a:ext cx="6472064" cy="933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b/>
          <w:bCs/>
          <w:sz w:val="28"/>
          <w:szCs w:val="28"/>
        </w:rPr>
        <w:br w:type="page"/>
      </w: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>йской Федерации</w:t>
      </w:r>
      <w:r w:rsidR="003638C7">
        <w:rPr>
          <w:rFonts w:eastAsia="Times New Roman"/>
          <w:sz w:val="28"/>
          <w:szCs w:val="28"/>
        </w:rPr>
        <w:t>.</w:t>
      </w:r>
      <w:r w:rsidR="00613E4C">
        <w:rPr>
          <w:rFonts w:eastAsia="Times New Roman"/>
          <w:sz w:val="28"/>
          <w:szCs w:val="28"/>
        </w:rPr>
        <w:t xml:space="preserve"> </w:t>
      </w:r>
      <w:r w:rsidR="003638C7">
        <w:rPr>
          <w:rFonts w:eastAsia="Times New Roman"/>
          <w:sz w:val="28"/>
          <w:szCs w:val="28"/>
          <w:shd w:val="clear" w:color="auto" w:fill="FFFF00"/>
        </w:rPr>
        <w:t xml:space="preserve"> 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</w:t>
      </w:r>
      <w:r w:rsidR="0040241A">
        <w:rPr>
          <w:rFonts w:eastAsia="Times New Roman"/>
          <w:sz w:val="28"/>
          <w:szCs w:val="28"/>
        </w:rPr>
        <w:t>ыми актами Российской Федерации,</w:t>
      </w:r>
      <w:r>
        <w:rPr>
          <w:rFonts w:eastAsia="Times New Roman"/>
          <w:sz w:val="28"/>
          <w:szCs w:val="28"/>
        </w:rPr>
        <w:t xml:space="preserve">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 w:rsidSect="0040241A">
          <w:pgSz w:w="11900" w:h="16838"/>
          <w:pgMar w:top="1130" w:right="1127" w:bottom="142" w:left="993" w:header="0" w:footer="0" w:gutter="0"/>
          <w:cols w:space="720" w:equalWidth="0">
            <w:col w:w="978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 w:rsidP="0040241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 w:rsidP="0040241A">
      <w:pPr>
        <w:spacing w:line="48" w:lineRule="exact"/>
        <w:jc w:val="center"/>
        <w:rPr>
          <w:sz w:val="20"/>
          <w:szCs w:val="20"/>
        </w:rPr>
      </w:pPr>
    </w:p>
    <w:p w:rsidR="00C10C6C" w:rsidRDefault="00594D35" w:rsidP="0040241A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 w:rsidP="0040241A">
      <w:pPr>
        <w:spacing w:line="285" w:lineRule="exact"/>
        <w:jc w:val="center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 w:rsidP="0040241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 w:rsidP="0040241A">
      <w:pPr>
        <w:spacing w:line="48" w:lineRule="exact"/>
        <w:jc w:val="center"/>
        <w:rPr>
          <w:sz w:val="20"/>
          <w:szCs w:val="20"/>
        </w:rPr>
      </w:pPr>
    </w:p>
    <w:p w:rsidR="00C10C6C" w:rsidRDefault="00594D35" w:rsidP="0040241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 w:rsidP="004024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 w:rsidP="0040241A">
      <w:pPr>
        <w:spacing w:line="48" w:lineRule="exact"/>
        <w:jc w:val="center"/>
        <w:rPr>
          <w:sz w:val="20"/>
          <w:szCs w:val="20"/>
        </w:rPr>
      </w:pPr>
    </w:p>
    <w:p w:rsidR="00C10C6C" w:rsidRDefault="00594D35" w:rsidP="004024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 w:rsidP="0040241A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 w:rsidP="0040241A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 w:rsidP="0040241A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 w:rsidP="0040241A">
      <w:pPr>
        <w:spacing w:line="239" w:lineRule="auto"/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 w:rsidP="0040241A">
      <w:pPr>
        <w:spacing w:line="5" w:lineRule="exact"/>
        <w:jc w:val="center"/>
        <w:rPr>
          <w:sz w:val="20"/>
          <w:szCs w:val="20"/>
        </w:rPr>
      </w:pPr>
    </w:p>
    <w:p w:rsidR="00C10C6C" w:rsidRDefault="00594D35" w:rsidP="0040241A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 w:rsidP="0040241A">
      <w:pPr>
        <w:spacing w:line="242" w:lineRule="exact"/>
        <w:jc w:val="center"/>
        <w:rPr>
          <w:sz w:val="20"/>
          <w:szCs w:val="20"/>
        </w:rPr>
      </w:pP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340"/>
        <w:gridCol w:w="1620"/>
        <w:gridCol w:w="40"/>
        <w:gridCol w:w="1620"/>
        <w:gridCol w:w="320"/>
        <w:gridCol w:w="1300"/>
        <w:gridCol w:w="340"/>
        <w:gridCol w:w="30"/>
        <w:gridCol w:w="1610"/>
        <w:gridCol w:w="1640"/>
        <w:gridCol w:w="30"/>
      </w:tblGrid>
      <w:tr w:rsidR="00C10C6C" w:rsidTr="00084707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3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gridSpan w:val="3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C10C6C" w:rsidRDefault="00594D35" w:rsidP="000847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r w:rsidR="00084707">
              <w:rPr>
                <w:rFonts w:eastAsia="Times New Roman"/>
                <w:sz w:val="20"/>
                <w:szCs w:val="20"/>
              </w:rPr>
              <w:t>ТСШ-И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084707" w:rsidTr="00084707">
        <w:trPr>
          <w:gridAfter w:val="3"/>
          <w:wAfter w:w="3280" w:type="dxa"/>
          <w:trHeight w:val="231"/>
        </w:trPr>
        <w:tc>
          <w:tcPr>
            <w:tcW w:w="1620" w:type="dxa"/>
            <w:gridSpan w:val="2"/>
            <w:vAlign w:val="bottom"/>
          </w:tcPr>
          <w:p w:rsidR="00084707" w:rsidRDefault="0008470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84707" w:rsidRDefault="0008470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84707" w:rsidRDefault="0008470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84707" w:rsidRDefault="000847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84707" w:rsidRDefault="00084707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 w:rsidP="000847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r w:rsidR="00084707">
              <w:rPr>
                <w:rFonts w:eastAsia="Times New Roman"/>
                <w:b/>
                <w:bCs/>
                <w:sz w:val="20"/>
                <w:szCs w:val="20"/>
              </w:rPr>
              <w:t>пятидневного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08470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08470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 w:rsidP="0040241A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 w:rsidP="0040241A">
      <w:pPr>
        <w:spacing w:line="63" w:lineRule="exact"/>
        <w:rPr>
          <w:sz w:val="20"/>
          <w:szCs w:val="20"/>
        </w:rPr>
      </w:pPr>
    </w:p>
    <w:p w:rsidR="00C10C6C" w:rsidRDefault="00594D35" w:rsidP="0040241A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 w:rsidP="0040241A">
      <w:pPr>
        <w:spacing w:line="5" w:lineRule="exact"/>
        <w:rPr>
          <w:sz w:val="20"/>
          <w:szCs w:val="20"/>
        </w:rPr>
      </w:pPr>
    </w:p>
    <w:p w:rsidR="00C10C6C" w:rsidRDefault="00594D35" w:rsidP="0040241A">
      <w:pPr>
        <w:spacing w:line="263" w:lineRule="auto"/>
        <w:ind w:left="34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B958EB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0C6C"/>
    <w:rsid w:val="00084707"/>
    <w:rsid w:val="00232765"/>
    <w:rsid w:val="003638C7"/>
    <w:rsid w:val="003B0D33"/>
    <w:rsid w:val="0040241A"/>
    <w:rsid w:val="004A5DE8"/>
    <w:rsid w:val="00594D35"/>
    <w:rsid w:val="00613E4C"/>
    <w:rsid w:val="006718D1"/>
    <w:rsid w:val="006876EC"/>
    <w:rsid w:val="008D5F39"/>
    <w:rsid w:val="00AC0A46"/>
    <w:rsid w:val="00B958EB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35AE9-D27A-490E-9053-CA9D4D8A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2750</Words>
  <Characters>15676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13</cp:revision>
  <cp:lastPrinted>2020-08-06T05:20:00Z</cp:lastPrinted>
  <dcterms:created xsi:type="dcterms:W3CDTF">2020-08-06T07:01:00Z</dcterms:created>
  <dcterms:modified xsi:type="dcterms:W3CDTF">2020-09-27T14:35:00Z</dcterms:modified>
</cp:coreProperties>
</file>